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DD87" w14:textId="1496665C" w:rsidR="008665AD" w:rsidRPr="000E5E5A" w:rsidRDefault="008665AD" w:rsidP="000E5E5A">
      <w:pPr>
        <w:spacing w:line="360" w:lineRule="auto"/>
        <w:jc w:val="right"/>
        <w:rPr>
          <w:rFonts w:ascii="Arial" w:hAnsi="Arial" w:cs="Arial"/>
          <w:b/>
          <w:bCs/>
          <w:sz w:val="22"/>
          <w:szCs w:val="22"/>
        </w:rPr>
      </w:pPr>
    </w:p>
    <w:p w14:paraId="4BC3C410" w14:textId="77777777" w:rsidR="000E5E5A" w:rsidRPr="000E5E5A" w:rsidRDefault="000E5E5A" w:rsidP="000E5E5A">
      <w:pPr>
        <w:shd w:val="clear" w:color="auto" w:fill="FFFFFF"/>
        <w:suppressAutoHyphens w:val="0"/>
        <w:spacing w:line="360" w:lineRule="auto"/>
        <w:jc w:val="both"/>
        <w:rPr>
          <w:rFonts w:ascii="Arial" w:hAnsi="Arial" w:cs="Arial"/>
          <w:sz w:val="22"/>
          <w:szCs w:val="22"/>
        </w:rPr>
      </w:pPr>
    </w:p>
    <w:p w14:paraId="304566EA" w14:textId="77777777" w:rsidR="000E5E5A" w:rsidRPr="000E5E5A" w:rsidRDefault="000E5E5A" w:rsidP="000E5E5A">
      <w:pPr>
        <w:shd w:val="clear" w:color="auto" w:fill="FFFFFF"/>
        <w:suppressAutoHyphens w:val="0"/>
        <w:spacing w:line="360" w:lineRule="auto"/>
        <w:jc w:val="both"/>
        <w:rPr>
          <w:rFonts w:ascii="Arial" w:hAnsi="Arial" w:cs="Arial"/>
          <w:sz w:val="22"/>
          <w:szCs w:val="22"/>
        </w:rPr>
      </w:pPr>
    </w:p>
    <w:p w14:paraId="7189F553" w14:textId="4A14BA50" w:rsidR="000E5E5A" w:rsidRPr="007B2FAB" w:rsidRDefault="000E5E5A" w:rsidP="000E5E5A">
      <w:pPr>
        <w:shd w:val="clear" w:color="auto" w:fill="FFFFFF"/>
        <w:suppressAutoHyphens w:val="0"/>
        <w:spacing w:line="360" w:lineRule="auto"/>
        <w:jc w:val="both"/>
        <w:rPr>
          <w:rFonts w:ascii="Arial" w:hAnsi="Arial" w:cs="Arial"/>
          <w:b/>
          <w:bCs/>
          <w:sz w:val="22"/>
          <w:szCs w:val="22"/>
        </w:rPr>
      </w:pPr>
      <w:r w:rsidRPr="000E5E5A">
        <w:rPr>
          <w:rFonts w:ascii="Arial" w:hAnsi="Arial" w:cs="Arial"/>
          <w:sz w:val="22"/>
          <w:szCs w:val="22"/>
        </w:rPr>
        <w:t>Oggetto</w:t>
      </w:r>
      <w:r w:rsidR="00A10F1E" w:rsidRPr="007B2FAB">
        <w:rPr>
          <w:rFonts w:ascii="Arial" w:hAnsi="Arial" w:cs="Arial"/>
          <w:b/>
          <w:bCs/>
          <w:sz w:val="22"/>
          <w:szCs w:val="22"/>
        </w:rPr>
        <w:t>: MICI - Attualità</w:t>
      </w:r>
    </w:p>
    <w:p w14:paraId="71BC6356" w14:textId="77777777" w:rsidR="000E5E5A" w:rsidRPr="00A10F1E" w:rsidRDefault="000E5E5A" w:rsidP="00A10F1E">
      <w:pPr>
        <w:shd w:val="clear" w:color="auto" w:fill="FFFFFF"/>
        <w:suppressAutoHyphens w:val="0"/>
        <w:spacing w:line="276" w:lineRule="auto"/>
        <w:jc w:val="both"/>
        <w:rPr>
          <w:rFonts w:ascii="Arial" w:hAnsi="Arial" w:cs="Arial"/>
          <w:sz w:val="22"/>
          <w:szCs w:val="22"/>
        </w:rPr>
      </w:pPr>
    </w:p>
    <w:p w14:paraId="399C6BB5" w14:textId="69222629" w:rsidR="00A10F1E" w:rsidRPr="00A10F1E" w:rsidRDefault="007B2FAB" w:rsidP="00A10F1E">
      <w:pPr>
        <w:spacing w:line="276" w:lineRule="auto"/>
        <w:jc w:val="both"/>
        <w:rPr>
          <w:rFonts w:ascii="Verdana Pro" w:hAnsi="Verdana Pro"/>
          <w:color w:val="222222"/>
          <w:sz w:val="22"/>
          <w:szCs w:val="22"/>
          <w:shd w:val="clear" w:color="auto" w:fill="FFFFFF"/>
        </w:rPr>
      </w:pPr>
      <w:r>
        <w:rPr>
          <w:rFonts w:ascii="Verdana Pro" w:hAnsi="Verdana Pro"/>
          <w:color w:val="222222"/>
          <w:sz w:val="22"/>
          <w:szCs w:val="22"/>
          <w:shd w:val="clear" w:color="auto" w:fill="FFFFFF"/>
        </w:rPr>
        <w:t>L’ordinamento giuridico vigente</w:t>
      </w:r>
      <w:r w:rsidR="00A10F1E" w:rsidRPr="00A10F1E">
        <w:rPr>
          <w:rFonts w:ascii="Verdana Pro" w:hAnsi="Verdana Pro"/>
          <w:color w:val="222222"/>
          <w:sz w:val="22"/>
          <w:szCs w:val="22"/>
          <w:shd w:val="clear" w:color="auto" w:fill="FFFFFF"/>
        </w:rPr>
        <w:t xml:space="preserve"> prevede che i pazienti affetti da </w:t>
      </w:r>
      <w:r w:rsidR="00A10F1E" w:rsidRPr="00A10F1E">
        <w:rPr>
          <w:rStyle w:val="Enfasigrassetto"/>
          <w:rFonts w:ascii="Verdana Pro" w:hAnsi="Verdana Pro"/>
          <w:color w:val="222222"/>
          <w:sz w:val="22"/>
          <w:szCs w:val="22"/>
          <w:shd w:val="clear" w:color="auto" w:fill="FFFFFF"/>
        </w:rPr>
        <w:t>malattie infiammatorie croniche intestinali</w:t>
      </w:r>
      <w:r w:rsidR="00A10F1E" w:rsidRPr="00A10F1E">
        <w:rPr>
          <w:rFonts w:ascii="Verdana Pro" w:hAnsi="Verdana Pro"/>
          <w:color w:val="222222"/>
          <w:sz w:val="22"/>
          <w:szCs w:val="22"/>
          <w:shd w:val="clear" w:color="auto" w:fill="FFFFFF"/>
        </w:rPr>
        <w:t> possano richiedere benefici relativi all'</w:t>
      </w:r>
      <w:r w:rsidR="00A10F1E" w:rsidRPr="00A10F1E">
        <w:rPr>
          <w:rStyle w:val="Enfasigrassetto"/>
          <w:rFonts w:ascii="Verdana Pro" w:hAnsi="Verdana Pro"/>
          <w:color w:val="222222"/>
          <w:sz w:val="22"/>
          <w:szCs w:val="22"/>
          <w:shd w:val="clear" w:color="auto" w:fill="FFFFFF"/>
        </w:rPr>
        <w:t>invalidità civile</w:t>
      </w:r>
      <w:r w:rsidR="00A10F1E" w:rsidRPr="00A10F1E">
        <w:rPr>
          <w:rFonts w:ascii="Verdana Pro" w:hAnsi="Verdana Pro"/>
          <w:color w:val="222222"/>
          <w:sz w:val="22"/>
          <w:szCs w:val="22"/>
          <w:shd w:val="clear" w:color="auto" w:fill="FFFFFF"/>
        </w:rPr>
        <w:t>. Ricordiamo infatti che la </w:t>
      </w:r>
      <w:r w:rsidR="00A10F1E" w:rsidRPr="00A10F1E">
        <w:rPr>
          <w:rStyle w:val="Enfasigrassetto"/>
          <w:rFonts w:ascii="Verdana Pro" w:hAnsi="Verdana Pro"/>
          <w:color w:val="222222"/>
          <w:sz w:val="22"/>
          <w:szCs w:val="22"/>
          <w:shd w:val="clear" w:color="auto" w:fill="FFFFFF"/>
        </w:rPr>
        <w:t>malattia di Crohn</w:t>
      </w:r>
      <w:r w:rsidR="00A10F1E" w:rsidRPr="00A10F1E">
        <w:rPr>
          <w:rFonts w:ascii="Verdana Pro" w:hAnsi="Verdana Pro"/>
          <w:color w:val="222222"/>
          <w:sz w:val="22"/>
          <w:szCs w:val="22"/>
          <w:shd w:val="clear" w:color="auto" w:fill="FFFFFF"/>
        </w:rPr>
        <w:t> e la </w:t>
      </w:r>
      <w:r w:rsidR="00A10F1E" w:rsidRPr="00A10F1E">
        <w:rPr>
          <w:rStyle w:val="Enfasigrassetto"/>
          <w:rFonts w:ascii="Verdana Pro" w:hAnsi="Verdana Pro"/>
          <w:color w:val="222222"/>
          <w:sz w:val="22"/>
          <w:szCs w:val="22"/>
          <w:shd w:val="clear" w:color="auto" w:fill="FFFFFF"/>
        </w:rPr>
        <w:t>rettocolite ulcerosa</w:t>
      </w:r>
      <w:r w:rsidR="00A10F1E" w:rsidRPr="00A10F1E">
        <w:rPr>
          <w:rFonts w:ascii="Verdana Pro" w:hAnsi="Verdana Pro"/>
          <w:color w:val="222222"/>
          <w:sz w:val="22"/>
          <w:szCs w:val="22"/>
          <w:shd w:val="clear" w:color="auto" w:fill="FFFFFF"/>
        </w:rPr>
        <w:t> sono patologie croniche che possono avere, in molti casi, </w:t>
      </w:r>
      <w:r w:rsidR="00A10F1E" w:rsidRPr="00A10F1E">
        <w:rPr>
          <w:rStyle w:val="Enfasigrassetto"/>
          <w:rFonts w:ascii="Verdana Pro" w:hAnsi="Verdana Pro"/>
          <w:color w:val="222222"/>
          <w:sz w:val="22"/>
          <w:szCs w:val="22"/>
          <w:shd w:val="clear" w:color="auto" w:fill="FFFFFF"/>
        </w:rPr>
        <w:t>ripercussioni importanti sulla vita lavorativa</w:t>
      </w:r>
      <w:r w:rsidR="00A10F1E" w:rsidRPr="00A10F1E">
        <w:rPr>
          <w:rFonts w:ascii="Verdana Pro" w:hAnsi="Verdana Pro"/>
          <w:color w:val="222222"/>
          <w:sz w:val="22"/>
          <w:szCs w:val="22"/>
          <w:shd w:val="clear" w:color="auto" w:fill="FFFFFF"/>
        </w:rPr>
        <w:t> e sulla capacità produttiva dei pazienti, oltre che a compiere “gli atti quotidiani della vita”. Ciò è legato alle malattie stesse, che implicano </w:t>
      </w:r>
      <w:r w:rsidR="00A10F1E" w:rsidRPr="00A10F1E">
        <w:rPr>
          <w:rStyle w:val="Enfasigrassetto"/>
          <w:rFonts w:ascii="Verdana Pro" w:hAnsi="Verdana Pro"/>
          <w:color w:val="222222"/>
          <w:sz w:val="22"/>
          <w:szCs w:val="22"/>
          <w:shd w:val="clear" w:color="auto" w:fill="FFFFFF"/>
        </w:rPr>
        <w:t>dolore</w:t>
      </w:r>
      <w:r w:rsidR="00A10F1E" w:rsidRPr="00A10F1E">
        <w:rPr>
          <w:rFonts w:ascii="Verdana Pro" w:hAnsi="Verdana Pro"/>
          <w:color w:val="222222"/>
          <w:sz w:val="22"/>
          <w:szCs w:val="22"/>
          <w:shd w:val="clear" w:color="auto" w:fill="FFFFFF"/>
        </w:rPr>
        <w:t> e frequente </w:t>
      </w:r>
      <w:r w:rsidR="00A10F1E" w:rsidRPr="00A10F1E">
        <w:rPr>
          <w:rStyle w:val="Enfasigrassetto"/>
          <w:rFonts w:ascii="Verdana Pro" w:hAnsi="Verdana Pro"/>
          <w:color w:val="222222"/>
          <w:sz w:val="22"/>
          <w:szCs w:val="22"/>
          <w:shd w:val="clear" w:color="auto" w:fill="FFFFFF"/>
        </w:rPr>
        <w:t>necessità di recarsi in bagno</w:t>
      </w:r>
      <w:r w:rsidR="00A10F1E" w:rsidRPr="00A10F1E">
        <w:rPr>
          <w:rFonts w:ascii="Verdana Pro" w:hAnsi="Verdana Pro"/>
          <w:color w:val="222222"/>
          <w:sz w:val="22"/>
          <w:szCs w:val="22"/>
          <w:shd w:val="clear" w:color="auto" w:fill="FFFFFF"/>
        </w:rPr>
        <w:t>, ma anche a fattori a loro collaterali: ad esempio una parte di questi pazienti ha subito </w:t>
      </w:r>
      <w:r w:rsidR="00A10F1E" w:rsidRPr="00A10F1E">
        <w:rPr>
          <w:rStyle w:val="Enfasigrassetto"/>
          <w:rFonts w:ascii="Verdana Pro" w:hAnsi="Verdana Pro"/>
          <w:color w:val="222222"/>
          <w:sz w:val="22"/>
          <w:szCs w:val="22"/>
          <w:shd w:val="clear" w:color="auto" w:fill="FFFFFF"/>
        </w:rPr>
        <w:t>interventi chirurgici</w:t>
      </w:r>
      <w:r w:rsidR="00A10F1E" w:rsidRPr="00A10F1E">
        <w:rPr>
          <w:rFonts w:ascii="Verdana Pro" w:hAnsi="Verdana Pro"/>
          <w:color w:val="222222"/>
          <w:sz w:val="22"/>
          <w:szCs w:val="22"/>
          <w:shd w:val="clear" w:color="auto" w:fill="FFFFFF"/>
        </w:rPr>
        <w:t> che possono lasciare conseguenze importanti. In alcuni casi i soggetti sono costretti, per un periodo di tempo limitato oppure per sempre, a portare una </w:t>
      </w:r>
      <w:hyperlink r:id="rId7" w:tgtFrame="_blank" w:history="1">
        <w:r w:rsidR="00A10F1E" w:rsidRPr="00A10F1E">
          <w:rPr>
            <w:rStyle w:val="Collegamentoipertestuale"/>
            <w:rFonts w:ascii="Verdana Pro" w:hAnsi="Verdana Pro"/>
            <w:sz w:val="22"/>
            <w:szCs w:val="22"/>
            <w:shd w:val="clear" w:color="auto" w:fill="FFFFFF"/>
          </w:rPr>
          <w:t>stomia</w:t>
        </w:r>
      </w:hyperlink>
      <w:r w:rsidR="00A10F1E" w:rsidRPr="00A10F1E">
        <w:rPr>
          <w:rFonts w:ascii="Verdana Pro" w:hAnsi="Verdana Pro"/>
          <w:color w:val="222222"/>
          <w:sz w:val="22"/>
          <w:szCs w:val="22"/>
          <w:shd w:val="clear" w:color="auto" w:fill="FFFFFF"/>
        </w:rPr>
        <w:t>. Non dimentichiamo poi che le due malattie possono portare a </w:t>
      </w:r>
      <w:r w:rsidR="00A10F1E" w:rsidRPr="00A10F1E">
        <w:rPr>
          <w:rStyle w:val="Enfasigrassetto"/>
          <w:rFonts w:ascii="Verdana Pro" w:hAnsi="Verdana Pro"/>
          <w:color w:val="222222"/>
          <w:sz w:val="22"/>
          <w:szCs w:val="22"/>
          <w:shd w:val="clear" w:color="auto" w:fill="FFFFFF"/>
        </w:rPr>
        <w:t>disturbi da malassorbimento</w:t>
      </w:r>
      <w:r w:rsidR="00A10F1E" w:rsidRPr="00A10F1E">
        <w:rPr>
          <w:rFonts w:ascii="Verdana Pro" w:hAnsi="Verdana Pro"/>
          <w:color w:val="222222"/>
          <w:sz w:val="22"/>
          <w:szCs w:val="22"/>
          <w:shd w:val="clear" w:color="auto" w:fill="FFFFFF"/>
        </w:rPr>
        <w:t> e causare quindi stati di </w:t>
      </w:r>
      <w:r w:rsidR="00A10F1E" w:rsidRPr="00A10F1E">
        <w:rPr>
          <w:rStyle w:val="Enfasigrassetto"/>
          <w:rFonts w:ascii="Verdana Pro" w:hAnsi="Verdana Pro"/>
          <w:color w:val="222222"/>
          <w:sz w:val="22"/>
          <w:szCs w:val="22"/>
          <w:shd w:val="clear" w:color="auto" w:fill="FFFFFF"/>
        </w:rPr>
        <w:t>debolezza</w:t>
      </w:r>
      <w:r w:rsidR="00A10F1E" w:rsidRPr="00A10F1E">
        <w:rPr>
          <w:rFonts w:ascii="Verdana Pro" w:hAnsi="Verdana Pro"/>
          <w:color w:val="222222"/>
          <w:sz w:val="22"/>
          <w:szCs w:val="22"/>
          <w:shd w:val="clear" w:color="auto" w:fill="FFFFFF"/>
        </w:rPr>
        <w:t>, spesso accentuati dalla </w:t>
      </w:r>
      <w:r w:rsidR="00A10F1E" w:rsidRPr="00A10F1E">
        <w:rPr>
          <w:rStyle w:val="Enfasigrassetto"/>
          <w:rFonts w:ascii="Verdana Pro" w:hAnsi="Verdana Pro"/>
          <w:color w:val="222222"/>
          <w:sz w:val="22"/>
          <w:szCs w:val="22"/>
          <w:shd w:val="clear" w:color="auto" w:fill="FFFFFF"/>
        </w:rPr>
        <w:t>riduzione di peso corporeo</w:t>
      </w:r>
      <w:r w:rsidR="00A10F1E" w:rsidRPr="00A10F1E">
        <w:rPr>
          <w:rFonts w:ascii="Verdana Pro" w:hAnsi="Verdana Pro"/>
          <w:color w:val="222222"/>
          <w:sz w:val="22"/>
          <w:szCs w:val="22"/>
          <w:shd w:val="clear" w:color="auto" w:fill="FFFFFF"/>
        </w:rPr>
        <w:t xml:space="preserve">. </w:t>
      </w:r>
      <w:proofErr w:type="gramStart"/>
      <w:r w:rsidR="00A10F1E" w:rsidRPr="00A10F1E">
        <w:rPr>
          <w:rFonts w:ascii="Verdana Pro" w:hAnsi="Verdana Pro"/>
          <w:color w:val="222222"/>
          <w:sz w:val="22"/>
          <w:szCs w:val="22"/>
          <w:shd w:val="clear" w:color="auto" w:fill="FFFFFF"/>
        </w:rPr>
        <w:t>Infine</w:t>
      </w:r>
      <w:proofErr w:type="gramEnd"/>
      <w:r w:rsidR="00A10F1E" w:rsidRPr="00A10F1E">
        <w:rPr>
          <w:rFonts w:ascii="Verdana Pro" w:hAnsi="Verdana Pro"/>
          <w:color w:val="222222"/>
          <w:sz w:val="22"/>
          <w:szCs w:val="22"/>
          <w:shd w:val="clear" w:color="auto" w:fill="FFFFFF"/>
        </w:rPr>
        <w:t xml:space="preserve"> queste condizioni portano con sé </w:t>
      </w:r>
      <w:r w:rsidR="00A10F1E" w:rsidRPr="00A10F1E">
        <w:rPr>
          <w:rStyle w:val="Enfasigrassetto"/>
          <w:rFonts w:ascii="Verdana Pro" w:hAnsi="Verdana Pro"/>
          <w:color w:val="222222"/>
          <w:sz w:val="22"/>
          <w:szCs w:val="22"/>
          <w:shd w:val="clear" w:color="auto" w:fill="FFFFFF"/>
        </w:rPr>
        <w:t>vissuti ansiosi e depressivi</w:t>
      </w:r>
      <w:r w:rsidR="00A10F1E" w:rsidRPr="00A10F1E">
        <w:rPr>
          <w:rFonts w:ascii="Verdana Pro" w:hAnsi="Verdana Pro"/>
          <w:color w:val="222222"/>
          <w:sz w:val="22"/>
          <w:szCs w:val="22"/>
          <w:shd w:val="clear" w:color="auto" w:fill="FFFFFF"/>
        </w:rPr>
        <w:t> che possono sfociare in vere </w:t>
      </w:r>
      <w:r w:rsidR="00A10F1E" w:rsidRPr="00A10F1E">
        <w:rPr>
          <w:rStyle w:val="Enfasigrassetto"/>
          <w:rFonts w:ascii="Verdana Pro" w:hAnsi="Verdana Pro"/>
          <w:color w:val="222222"/>
          <w:sz w:val="22"/>
          <w:szCs w:val="22"/>
          <w:shd w:val="clear" w:color="auto" w:fill="FFFFFF"/>
        </w:rPr>
        <w:t>patologie psichiatriche</w:t>
      </w:r>
      <w:r w:rsidR="00A10F1E" w:rsidRPr="00A10F1E">
        <w:rPr>
          <w:rFonts w:ascii="Verdana Pro" w:hAnsi="Verdana Pro"/>
          <w:color w:val="222222"/>
          <w:sz w:val="22"/>
          <w:szCs w:val="22"/>
          <w:shd w:val="clear" w:color="auto" w:fill="FFFFFF"/>
        </w:rPr>
        <w:t>, con conseguenze notevoli sulla vita di tutti i giorni e quindi anche su quella professionale.</w:t>
      </w:r>
    </w:p>
    <w:p w14:paraId="40DCC7A9" w14:textId="77777777" w:rsidR="00A10F1E" w:rsidRPr="00A10F1E" w:rsidRDefault="00A10F1E" w:rsidP="00A10F1E">
      <w:pPr>
        <w:spacing w:line="276" w:lineRule="auto"/>
        <w:jc w:val="both"/>
        <w:rPr>
          <w:rFonts w:ascii="Verdana Pro" w:hAnsi="Verdana Pro"/>
          <w:color w:val="222222"/>
          <w:sz w:val="22"/>
          <w:szCs w:val="22"/>
          <w:shd w:val="clear" w:color="auto" w:fill="FFFFFF"/>
        </w:rPr>
      </w:pPr>
    </w:p>
    <w:p w14:paraId="70E46E1E" w14:textId="77777777" w:rsidR="00A10F1E" w:rsidRPr="00A10F1E" w:rsidRDefault="00A10F1E" w:rsidP="00A10F1E">
      <w:pPr>
        <w:spacing w:line="276" w:lineRule="auto"/>
        <w:jc w:val="both"/>
        <w:rPr>
          <w:sz w:val="22"/>
          <w:szCs w:val="22"/>
        </w:rPr>
      </w:pPr>
      <w:r w:rsidRPr="00A63B62">
        <w:rPr>
          <w:rFonts w:ascii="Verdana Pro" w:hAnsi="Verdana Pro"/>
          <w:color w:val="222222"/>
          <w:sz w:val="22"/>
          <w:szCs w:val="22"/>
          <w:highlight w:val="yellow"/>
          <w:shd w:val="clear" w:color="auto" w:fill="FFFFFF"/>
        </w:rPr>
        <w:t xml:space="preserve">le percentuali di invalidità individuate dalla legge sono calcolate a partire dal 33 fino al 100 per cento: entro il 66 per cento i pazienti hanno diritto </w:t>
      </w:r>
      <w:r w:rsidRPr="009D5E7D">
        <w:rPr>
          <w:rFonts w:ascii="Verdana Pro" w:hAnsi="Verdana Pro"/>
          <w:color w:val="FF0000"/>
          <w:sz w:val="22"/>
          <w:szCs w:val="22"/>
          <w:highlight w:val="yellow"/>
          <w:shd w:val="clear" w:color="auto" w:fill="FFFFFF"/>
        </w:rPr>
        <w:t>ad alcuni benefici tra cui </w:t>
      </w:r>
      <w:r w:rsidRPr="009D5E7D">
        <w:rPr>
          <w:rStyle w:val="Enfasigrassetto"/>
          <w:rFonts w:ascii="Verdana Pro" w:hAnsi="Verdana Pro"/>
          <w:color w:val="FF0000"/>
          <w:sz w:val="22"/>
          <w:szCs w:val="22"/>
          <w:highlight w:val="yellow"/>
          <w:shd w:val="clear" w:color="auto" w:fill="FFFFFF"/>
        </w:rPr>
        <w:t>l'iscrizione alle liste di collocamento mirato</w:t>
      </w:r>
      <w:r w:rsidRPr="009D5E7D">
        <w:rPr>
          <w:rFonts w:ascii="Verdana Pro" w:hAnsi="Verdana Pro"/>
          <w:color w:val="FF0000"/>
          <w:sz w:val="22"/>
          <w:szCs w:val="22"/>
          <w:highlight w:val="yellow"/>
          <w:shd w:val="clear" w:color="auto" w:fill="FFFFFF"/>
        </w:rPr>
        <w:t> e il </w:t>
      </w:r>
      <w:r w:rsidRPr="009D5E7D">
        <w:rPr>
          <w:rStyle w:val="Enfasigrassetto"/>
          <w:rFonts w:ascii="Verdana Pro" w:hAnsi="Verdana Pro"/>
          <w:color w:val="FF0000"/>
          <w:sz w:val="22"/>
          <w:szCs w:val="22"/>
          <w:highlight w:val="yellow"/>
          <w:shd w:val="clear" w:color="auto" w:fill="FFFFFF"/>
        </w:rPr>
        <w:t>congedo straordinario per cure</w:t>
      </w:r>
      <w:r w:rsidRPr="009D5E7D">
        <w:rPr>
          <w:rFonts w:ascii="Verdana Pro" w:hAnsi="Verdana Pro"/>
          <w:color w:val="FF0000"/>
          <w:sz w:val="22"/>
          <w:szCs w:val="22"/>
          <w:highlight w:val="yellow"/>
          <w:shd w:val="clear" w:color="auto" w:fill="FFFFFF"/>
        </w:rPr>
        <w:t xml:space="preserve"> mentre </w:t>
      </w:r>
      <w:r w:rsidRPr="00A63B62">
        <w:rPr>
          <w:rFonts w:ascii="Verdana Pro" w:hAnsi="Verdana Pro"/>
          <w:color w:val="222222"/>
          <w:sz w:val="22"/>
          <w:szCs w:val="22"/>
          <w:highlight w:val="yellow"/>
          <w:shd w:val="clear" w:color="auto" w:fill="FFFFFF"/>
        </w:rPr>
        <w:t>dal 67 percento fino al 70, massima percentuale riconosciuta per la malattie infiammatorie croniche intestinali, a questi si aggiungono altri benefici più specifici che possono variare in funzione del distretto sociosanitario di appartenenza</w:t>
      </w:r>
      <w:r w:rsidRPr="00A10F1E">
        <w:rPr>
          <w:rFonts w:ascii="Verdana Pro" w:hAnsi="Verdana Pro"/>
          <w:color w:val="222222"/>
          <w:sz w:val="22"/>
          <w:szCs w:val="22"/>
          <w:shd w:val="clear" w:color="auto" w:fill="FFFFFF"/>
        </w:rPr>
        <w:t>. La </w:t>
      </w:r>
      <w:r w:rsidRPr="00A10F1E">
        <w:rPr>
          <w:rStyle w:val="Enfasigrassetto"/>
          <w:rFonts w:ascii="Verdana Pro" w:hAnsi="Verdana Pro"/>
          <w:color w:val="222222"/>
          <w:sz w:val="22"/>
          <w:szCs w:val="22"/>
          <w:shd w:val="clear" w:color="auto" w:fill="FFFFFF"/>
        </w:rPr>
        <w:t>valutazione della invalidità</w:t>
      </w:r>
      <w:r w:rsidRPr="00A10F1E">
        <w:rPr>
          <w:rFonts w:ascii="Verdana Pro" w:hAnsi="Verdana Pro"/>
          <w:color w:val="222222"/>
          <w:sz w:val="22"/>
          <w:szCs w:val="22"/>
          <w:shd w:val="clear" w:color="auto" w:fill="FFFFFF"/>
        </w:rPr>
        <w:t> è demandata a una specifica </w:t>
      </w:r>
      <w:r w:rsidRPr="00A10F1E">
        <w:rPr>
          <w:rStyle w:val="Enfasigrassetto"/>
          <w:rFonts w:ascii="Verdana Pro" w:hAnsi="Verdana Pro"/>
          <w:color w:val="222222"/>
          <w:sz w:val="22"/>
          <w:szCs w:val="22"/>
          <w:shd w:val="clear" w:color="auto" w:fill="FFFFFF"/>
        </w:rPr>
        <w:t xml:space="preserve">commissione. </w:t>
      </w:r>
      <w:r w:rsidRPr="00A10F1E">
        <w:rPr>
          <w:rFonts w:ascii="Verdana Pro" w:hAnsi="Verdana Pro"/>
          <w:color w:val="222222"/>
          <w:sz w:val="22"/>
          <w:szCs w:val="22"/>
          <w:shd w:val="clear" w:color="auto" w:fill="FFFFFF"/>
        </w:rPr>
        <w:t>In ogni caso va detto che i punteggi percentuali stabiliti per le classi di appartenenza possono essere ridotti o aumentati dalla commissione stessa fino a cinque punti, in riferimento alla specifica attività lavorativa che il paziente svolge e ad altri fattori individuali.</w:t>
      </w:r>
    </w:p>
    <w:p w14:paraId="35D397A8" w14:textId="77777777" w:rsidR="00EC2750" w:rsidRDefault="00EC2750" w:rsidP="00EC2750">
      <w:pPr>
        <w:shd w:val="clear" w:color="auto" w:fill="FFFFFF"/>
        <w:suppressAutoHyphens w:val="0"/>
        <w:spacing w:line="276" w:lineRule="auto"/>
        <w:jc w:val="both"/>
        <w:rPr>
          <w:rFonts w:ascii="Arial" w:hAnsi="Arial" w:cs="Arial"/>
          <w:sz w:val="22"/>
          <w:szCs w:val="22"/>
        </w:rPr>
      </w:pPr>
    </w:p>
    <w:p w14:paraId="0587C4EB" w14:textId="3F3F4AF5"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i/>
          <w:iCs/>
          <w:color w:val="222222"/>
          <w:sz w:val="22"/>
          <w:szCs w:val="22"/>
          <w:shd w:val="clear" w:color="auto" w:fill="FFFFFF"/>
        </w:rPr>
        <w:t>Mal di pancia, urgenza di andare in bagno (anche 10 volte al giorno), debolezza, febbre</w:t>
      </w:r>
      <w:r>
        <w:rPr>
          <w:rFonts w:ascii="Verdana Pro" w:hAnsi="Verdana Pro"/>
          <w:color w:val="222222"/>
          <w:sz w:val="22"/>
          <w:szCs w:val="22"/>
          <w:shd w:val="clear" w:color="auto" w:fill="FFFFFF"/>
        </w:rPr>
        <w:t>”</w:t>
      </w:r>
      <w:r w:rsidRPr="00EC2750">
        <w:rPr>
          <w:rFonts w:ascii="Verdana Pro" w:hAnsi="Verdana Pro"/>
          <w:color w:val="222222"/>
          <w:sz w:val="22"/>
          <w:szCs w:val="22"/>
          <w:shd w:val="clear" w:color="auto" w:fill="FFFFFF"/>
        </w:rPr>
        <w:t>: sono i sintomi più comuni delle </w:t>
      </w:r>
      <w:hyperlink r:id="rId8" w:tgtFrame="_blank" w:history="1">
        <w:r w:rsidRPr="00EC2750">
          <w:rPr>
            <w:rFonts w:ascii="Verdana Pro" w:hAnsi="Verdana Pro"/>
            <w:color w:val="222222"/>
            <w:shd w:val="clear" w:color="auto" w:fill="FFFFFF"/>
          </w:rPr>
          <w:t>MICI – Malattie Infiammatorie Croniche Intestinali</w:t>
        </w:r>
      </w:hyperlink>
      <w:r w:rsidRPr="00EC2750">
        <w:rPr>
          <w:rFonts w:ascii="Verdana Pro" w:hAnsi="Verdana Pro"/>
          <w:color w:val="222222"/>
          <w:sz w:val="22"/>
          <w:szCs w:val="22"/>
          <w:shd w:val="clear" w:color="auto" w:fill="FFFFFF"/>
        </w:rPr>
        <w:t> che comprendono </w:t>
      </w:r>
      <w:hyperlink r:id="rId9" w:history="1">
        <w:r w:rsidRPr="00EC2750">
          <w:rPr>
            <w:rFonts w:ascii="Verdana Pro" w:hAnsi="Verdana Pro"/>
            <w:color w:val="222222"/>
            <w:shd w:val="clear" w:color="auto" w:fill="FFFFFF"/>
          </w:rPr>
          <w:t>rettocolite ulcerosa</w:t>
        </w:r>
      </w:hyperlink>
      <w:r w:rsidRPr="00EC2750">
        <w:rPr>
          <w:rFonts w:ascii="Verdana Pro" w:hAnsi="Verdana Pro"/>
          <w:color w:val="222222"/>
          <w:sz w:val="22"/>
          <w:szCs w:val="22"/>
          <w:shd w:val="clear" w:color="auto" w:fill="FFFFFF"/>
        </w:rPr>
        <w:t> e la </w:t>
      </w:r>
      <w:hyperlink r:id="rId10" w:history="1">
        <w:r w:rsidRPr="00EC2750">
          <w:rPr>
            <w:rFonts w:ascii="Verdana Pro" w:hAnsi="Verdana Pro"/>
            <w:color w:val="222222"/>
            <w:shd w:val="clear" w:color="auto" w:fill="FFFFFF"/>
          </w:rPr>
          <w:t>malattia di Crohn</w:t>
        </w:r>
      </w:hyperlink>
      <w:r w:rsidRPr="00EC2750">
        <w:rPr>
          <w:rFonts w:ascii="Verdana Pro" w:hAnsi="Verdana Pro"/>
          <w:color w:val="222222"/>
          <w:sz w:val="22"/>
          <w:szCs w:val="22"/>
          <w:shd w:val="clear" w:color="auto" w:fill="FFFFFF"/>
        </w:rPr>
        <w:t>. Si tratta di sintomi che compromettono seriamente la qualità della vita di chi ne soffre e che spesso rendono impossibile svolgere le attività quotidiane, compreso il lavoro. Per fortuna, negli anni, sono cresciuti gli strumenti legislativi che tutelano i pazienti affetti da MICI, anche se molto ancora si potrebbe fare.</w:t>
      </w:r>
    </w:p>
    <w:p w14:paraId="2AA80AED" w14:textId="77777777" w:rsidR="00EC2750" w:rsidRDefault="00EC2750" w:rsidP="00EC2750">
      <w:pPr>
        <w:spacing w:line="276" w:lineRule="auto"/>
        <w:jc w:val="both"/>
        <w:rPr>
          <w:rFonts w:ascii="Verdana Pro" w:hAnsi="Verdana Pro"/>
          <w:b/>
          <w:bCs/>
          <w:color w:val="222222"/>
          <w:sz w:val="22"/>
          <w:szCs w:val="22"/>
          <w:u w:val="single"/>
          <w:shd w:val="clear" w:color="auto" w:fill="FFFFFF"/>
        </w:rPr>
      </w:pPr>
    </w:p>
    <w:p w14:paraId="449A224B" w14:textId="5B2B63FF" w:rsidR="00EC2750" w:rsidRPr="00EC2750" w:rsidRDefault="00EC2750" w:rsidP="00EC2750">
      <w:pPr>
        <w:spacing w:line="276" w:lineRule="auto"/>
        <w:jc w:val="both"/>
        <w:rPr>
          <w:rFonts w:ascii="Verdana Pro" w:hAnsi="Verdana Pro"/>
          <w:b/>
          <w:bCs/>
          <w:color w:val="222222"/>
          <w:sz w:val="22"/>
          <w:szCs w:val="22"/>
          <w:u w:val="single"/>
          <w:shd w:val="clear" w:color="auto" w:fill="FFFFFF"/>
        </w:rPr>
      </w:pPr>
      <w:r w:rsidRPr="00EC2750">
        <w:rPr>
          <w:rFonts w:ascii="Verdana Pro" w:hAnsi="Verdana Pro"/>
          <w:b/>
          <w:bCs/>
          <w:color w:val="222222"/>
          <w:sz w:val="22"/>
          <w:szCs w:val="22"/>
          <w:u w:val="single"/>
          <w:shd w:val="clear" w:color="auto" w:fill="FFFFFF"/>
        </w:rPr>
        <w:t>I diritti del malato di MICI – Invalidità civile</w:t>
      </w:r>
    </w:p>
    <w:p w14:paraId="6822768E"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lastRenderedPageBreak/>
        <w:t>Per le MICI è previsto il riconoscimento dell’invalidità civile e, in casi particolari, anche l’assegno o la pensione di invalidità. La richiesta va indirizzata all’Asl che, dopo aver esaminato la documentazione, esprime una valutazione, riconoscendo un grado di invalidità in base ad una tabella.</w:t>
      </w:r>
    </w:p>
    <w:p w14:paraId="0D2B013A"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Accade ancora oggi, purtroppo, che la gravità della patologia sia sottostimata e sia riconosciuto un’invalidità inferiore al 46%, il minimo richiesto per essere inseriti nelle liste speciali di collocamento. Talvolta l’invalidità è del tutto rifiutata.</w:t>
      </w:r>
    </w:p>
    <w:p w14:paraId="27F484A3" w14:textId="77777777" w:rsidR="00EC2750" w:rsidRDefault="00EC2750" w:rsidP="00EC2750">
      <w:pPr>
        <w:spacing w:line="276" w:lineRule="auto"/>
        <w:jc w:val="both"/>
        <w:rPr>
          <w:rFonts w:ascii="Verdana Pro" w:hAnsi="Verdana Pro"/>
          <w:b/>
          <w:bCs/>
          <w:color w:val="222222"/>
          <w:sz w:val="22"/>
          <w:szCs w:val="22"/>
          <w:u w:val="single"/>
          <w:shd w:val="clear" w:color="auto" w:fill="FFFFFF"/>
        </w:rPr>
      </w:pPr>
    </w:p>
    <w:p w14:paraId="45DAC72A" w14:textId="0BB7DF0C" w:rsidR="00EC2750" w:rsidRPr="00EC2750" w:rsidRDefault="00EC2750" w:rsidP="00EC2750">
      <w:pPr>
        <w:spacing w:line="276" w:lineRule="auto"/>
        <w:jc w:val="both"/>
        <w:rPr>
          <w:rFonts w:ascii="Verdana Pro" w:hAnsi="Verdana Pro"/>
          <w:b/>
          <w:bCs/>
          <w:color w:val="222222"/>
          <w:sz w:val="22"/>
          <w:szCs w:val="22"/>
          <w:u w:val="single"/>
          <w:shd w:val="clear" w:color="auto" w:fill="FFFFFF"/>
        </w:rPr>
      </w:pPr>
      <w:r w:rsidRPr="00EC2750">
        <w:rPr>
          <w:rFonts w:ascii="Verdana Pro" w:hAnsi="Verdana Pro"/>
          <w:b/>
          <w:bCs/>
          <w:color w:val="222222"/>
          <w:sz w:val="22"/>
          <w:szCs w:val="22"/>
          <w:u w:val="single"/>
          <w:shd w:val="clear" w:color="auto" w:fill="FFFFFF"/>
        </w:rPr>
        <w:t>I diritti del malato di MICI – Esenzioni</w:t>
      </w:r>
    </w:p>
    <w:p w14:paraId="75177FD4"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Le MICI rientrano nelle patologie per cui è prevista l’esenzione dal pagamento del ticket, sia per gli esami clinici sia per le terapie.</w:t>
      </w:r>
    </w:p>
    <w:p w14:paraId="218FE599"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I diritti del malato di MICI in ambito lavorativo</w:t>
      </w:r>
    </w:p>
    <w:p w14:paraId="2867E28B"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Il riferimento in questo ambito è la Legge n.68 del 1999 “Norme per il diritto al lavoro dei disabili”.</w:t>
      </w:r>
    </w:p>
    <w:p w14:paraId="346ABEAC" w14:textId="77777777" w:rsidR="00EC2750" w:rsidRPr="009D5E7D" w:rsidRDefault="00EC2750" w:rsidP="00EC2750">
      <w:pPr>
        <w:spacing w:line="276" w:lineRule="auto"/>
        <w:jc w:val="both"/>
        <w:rPr>
          <w:rFonts w:ascii="Verdana Pro" w:hAnsi="Verdana Pro"/>
          <w:color w:val="FF0000"/>
          <w:sz w:val="22"/>
          <w:szCs w:val="22"/>
          <w:highlight w:val="yellow"/>
          <w:shd w:val="clear" w:color="auto" w:fill="FFFFFF"/>
        </w:rPr>
      </w:pPr>
      <w:r w:rsidRPr="009D5E7D">
        <w:rPr>
          <w:rFonts w:ascii="Verdana Pro" w:hAnsi="Verdana Pro"/>
          <w:color w:val="FF0000"/>
          <w:sz w:val="22"/>
          <w:szCs w:val="22"/>
          <w:highlight w:val="yellow"/>
          <w:shd w:val="clear" w:color="auto" w:fill="FFFFFF"/>
        </w:rPr>
        <w:t>Al malato con invalidità civile superiore al 45% è assicurata l’iscrizione in appositi elenchi, ordinati secondo una graduatoria stilata sulla base di alcuni criteri definiti.</w:t>
      </w:r>
    </w:p>
    <w:p w14:paraId="7E218D98" w14:textId="77777777" w:rsidR="00EC2750" w:rsidRPr="009D5E7D" w:rsidRDefault="00EC2750" w:rsidP="00EC2750">
      <w:pPr>
        <w:spacing w:line="276" w:lineRule="auto"/>
        <w:jc w:val="both"/>
        <w:rPr>
          <w:rFonts w:ascii="Verdana Pro" w:hAnsi="Verdana Pro"/>
          <w:color w:val="FF0000"/>
          <w:sz w:val="22"/>
          <w:szCs w:val="22"/>
          <w:shd w:val="clear" w:color="auto" w:fill="FFFFFF"/>
        </w:rPr>
      </w:pPr>
      <w:r w:rsidRPr="009D5E7D">
        <w:rPr>
          <w:rFonts w:ascii="Verdana Pro" w:hAnsi="Verdana Pro"/>
          <w:color w:val="FF0000"/>
          <w:sz w:val="22"/>
          <w:szCs w:val="22"/>
          <w:highlight w:val="yellow"/>
          <w:shd w:val="clear" w:color="auto" w:fill="FFFFFF"/>
        </w:rPr>
        <w:t>Il datore di lavoro (pubblico e privato) ha l’obbligo di riservare ai lavoratori appartenenti alle categorie protette una certa quota delle assunzioni.</w:t>
      </w:r>
    </w:p>
    <w:p w14:paraId="6841FA80" w14:textId="77777777" w:rsid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Dal 1° gennaio del 2017, inoltre, i datori di lavoro privati che occupano da 15 a 35 dipendenti sono obbligati ad avere alle loro dipendenze un lavoratore disabile contestualmente al raggiungimento dei 15 dipendenti, calcolati a prescindere dalle nuove assunzioni. In precedenza, l’obbligo di assunzione del disabile insorgeva solo in caso di una nuova assunzione.</w:t>
      </w:r>
    </w:p>
    <w:p w14:paraId="662278CE" w14:textId="77777777" w:rsidR="00EC2750" w:rsidRPr="00EC2750" w:rsidRDefault="00EC2750" w:rsidP="00EC2750">
      <w:pPr>
        <w:spacing w:line="276" w:lineRule="auto"/>
        <w:jc w:val="both"/>
        <w:rPr>
          <w:rFonts w:ascii="Verdana Pro" w:hAnsi="Verdana Pro"/>
          <w:color w:val="222222"/>
          <w:sz w:val="22"/>
          <w:szCs w:val="22"/>
          <w:shd w:val="clear" w:color="auto" w:fill="FFFFFF"/>
        </w:rPr>
      </w:pPr>
    </w:p>
    <w:p w14:paraId="4633EB1F" w14:textId="77777777" w:rsidR="00EC2750" w:rsidRPr="00EC2750" w:rsidRDefault="00EC2750" w:rsidP="00EC2750">
      <w:pPr>
        <w:spacing w:line="276" w:lineRule="auto"/>
        <w:jc w:val="both"/>
        <w:rPr>
          <w:rFonts w:ascii="Verdana Pro" w:hAnsi="Verdana Pro"/>
          <w:b/>
          <w:bCs/>
          <w:color w:val="222222"/>
          <w:sz w:val="22"/>
          <w:szCs w:val="22"/>
          <w:u w:val="single"/>
          <w:shd w:val="clear" w:color="auto" w:fill="FFFFFF"/>
        </w:rPr>
      </w:pPr>
      <w:r w:rsidRPr="00EC2750">
        <w:rPr>
          <w:rFonts w:ascii="Verdana Pro" w:hAnsi="Verdana Pro"/>
          <w:b/>
          <w:bCs/>
          <w:color w:val="222222"/>
          <w:sz w:val="22"/>
          <w:szCs w:val="22"/>
          <w:u w:val="single"/>
          <w:shd w:val="clear" w:color="auto" w:fill="FFFFFF"/>
        </w:rPr>
        <w:t>I diritti del malato di MICI – Conservazione del posto di lavoro</w:t>
      </w:r>
    </w:p>
    <w:p w14:paraId="50CFF04F" w14:textId="77777777" w:rsid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La persona disabile, più esposta ai pericoli di esclusione dal lavoro, ha diritto alla conservazione del posto. La conservazione del posto spetta anche ai soggetti che, non essendo disabili all’atto dell’assunzione, abbiano acquisito una disabilità nel corso del rapporto di lavoro.</w:t>
      </w:r>
    </w:p>
    <w:p w14:paraId="709B98B7" w14:textId="77777777" w:rsidR="00EC2750" w:rsidRPr="00EC2750" w:rsidRDefault="00EC2750" w:rsidP="00EC2750">
      <w:pPr>
        <w:spacing w:line="276" w:lineRule="auto"/>
        <w:jc w:val="both"/>
        <w:rPr>
          <w:rFonts w:ascii="Verdana Pro" w:hAnsi="Verdana Pro"/>
          <w:color w:val="222222"/>
          <w:sz w:val="22"/>
          <w:szCs w:val="22"/>
          <w:shd w:val="clear" w:color="auto" w:fill="FFFFFF"/>
        </w:rPr>
      </w:pPr>
    </w:p>
    <w:p w14:paraId="5442DDB1" w14:textId="77777777" w:rsidR="00EC2750" w:rsidRPr="00EC2750" w:rsidRDefault="00EC2750" w:rsidP="00EC2750">
      <w:pPr>
        <w:spacing w:line="276" w:lineRule="auto"/>
        <w:jc w:val="both"/>
        <w:rPr>
          <w:rFonts w:ascii="Verdana Pro" w:hAnsi="Verdana Pro"/>
          <w:b/>
          <w:bCs/>
          <w:color w:val="222222"/>
          <w:sz w:val="22"/>
          <w:szCs w:val="22"/>
          <w:u w:val="single"/>
          <w:shd w:val="clear" w:color="auto" w:fill="FFFFFF"/>
        </w:rPr>
      </w:pPr>
      <w:r w:rsidRPr="00EC2750">
        <w:rPr>
          <w:rFonts w:ascii="Verdana Pro" w:hAnsi="Verdana Pro"/>
          <w:b/>
          <w:bCs/>
          <w:color w:val="222222"/>
          <w:sz w:val="22"/>
          <w:szCs w:val="22"/>
          <w:u w:val="single"/>
          <w:shd w:val="clear" w:color="auto" w:fill="FFFFFF"/>
        </w:rPr>
        <w:t>I diritti del malato di MICI – Mansioni lavorative</w:t>
      </w:r>
    </w:p>
    <w:p w14:paraId="243FA4B9" w14:textId="77777777" w:rsidR="00EC2750" w:rsidRPr="00A63B62" w:rsidRDefault="00EC2750" w:rsidP="00EC2750">
      <w:pPr>
        <w:spacing w:line="276" w:lineRule="auto"/>
        <w:jc w:val="both"/>
        <w:rPr>
          <w:rFonts w:ascii="Verdana Pro" w:hAnsi="Verdana Pro"/>
          <w:color w:val="222222"/>
          <w:sz w:val="22"/>
          <w:szCs w:val="22"/>
          <w:highlight w:val="yellow"/>
          <w:shd w:val="clear" w:color="auto" w:fill="FFFFFF"/>
        </w:rPr>
      </w:pPr>
      <w:r w:rsidRPr="00A63B62">
        <w:rPr>
          <w:rFonts w:ascii="Verdana Pro" w:hAnsi="Verdana Pro"/>
          <w:color w:val="222222"/>
          <w:sz w:val="22"/>
          <w:szCs w:val="22"/>
          <w:highlight w:val="yellow"/>
          <w:shd w:val="clear" w:color="auto" w:fill="FFFFFF"/>
        </w:rPr>
        <w:t>Il DPR 10/10/2000 n.333, prevede che, qualora non sia possibile l’assegnazione a mansioni equivalenti o inferiori, i lavoratori divenuti inabili siano avviati presso altro datore di lavoro e assegnati a mansioni compatibili con le residue capacità lavorative.</w:t>
      </w:r>
    </w:p>
    <w:p w14:paraId="389F0362"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A63B62">
        <w:rPr>
          <w:rFonts w:ascii="Verdana Pro" w:hAnsi="Verdana Pro"/>
          <w:color w:val="222222"/>
          <w:sz w:val="22"/>
          <w:szCs w:val="22"/>
          <w:highlight w:val="yellow"/>
          <w:shd w:val="clear" w:color="auto" w:fill="FFFFFF"/>
        </w:rPr>
        <w:t>Tempo parziale</w:t>
      </w:r>
    </w:p>
    <w:p w14:paraId="47518697" w14:textId="77777777"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Ad oggi il diritto di trasformazione del rapporto di lavoro da tempo pieno a parziale è riservato solo al paziente oncologico che, terminata la terapia, può ritornare al tempo pieno (D. Lgs 61/2000). L’art. 6 del decreto, in attesa di parere, prevede che il diritto sia esteso al malato affetto da patologie croniche- degenerative ingravescenti, come le MICI.</w:t>
      </w:r>
    </w:p>
    <w:p w14:paraId="1DA52D58" w14:textId="0A34E4C3"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t>Per saperne di più si consiglia di consultare il sito della Onlus, </w:t>
      </w:r>
      <w:hyperlink r:id="rId11" w:tgtFrame="_blank" w:history="1">
        <w:r w:rsidRPr="00EC2750">
          <w:rPr>
            <w:rFonts w:ascii="Verdana Pro" w:hAnsi="Verdana Pro"/>
            <w:color w:val="222222"/>
            <w:shd w:val="clear" w:color="auto" w:fill="FFFFFF"/>
          </w:rPr>
          <w:t>AMICI Onlus, Associazione nazionale per le Malattie Infiammatorie Croniche dell’Intestino</w:t>
        </w:r>
      </w:hyperlink>
      <w:r>
        <w:rPr>
          <w:rFonts w:ascii="Verdana Pro" w:hAnsi="Verdana Pro"/>
          <w:color w:val="222222"/>
          <w:sz w:val="22"/>
          <w:szCs w:val="22"/>
          <w:shd w:val="clear" w:color="auto" w:fill="FFFFFF"/>
        </w:rPr>
        <w:t>.</w:t>
      </w:r>
    </w:p>
    <w:p w14:paraId="216383A7" w14:textId="75E8BB2A" w:rsidR="00EC2750" w:rsidRPr="00EC2750" w:rsidRDefault="00EC2750" w:rsidP="00EC2750">
      <w:pPr>
        <w:spacing w:line="276" w:lineRule="auto"/>
        <w:jc w:val="both"/>
        <w:rPr>
          <w:rFonts w:ascii="Verdana Pro" w:hAnsi="Verdana Pro"/>
          <w:color w:val="222222"/>
          <w:sz w:val="22"/>
          <w:szCs w:val="22"/>
          <w:shd w:val="clear" w:color="auto" w:fill="FFFFFF"/>
        </w:rPr>
      </w:pPr>
      <w:r w:rsidRPr="00EC2750">
        <w:rPr>
          <w:rFonts w:ascii="Verdana Pro" w:hAnsi="Verdana Pro"/>
          <w:color w:val="222222"/>
          <w:sz w:val="22"/>
          <w:szCs w:val="22"/>
          <w:shd w:val="clear" w:color="auto" w:fill="FFFFFF"/>
        </w:rPr>
        <w:lastRenderedPageBreak/>
        <w:br/>
        <w:t>È importante che chi soffre di malattie infiammatorie croniche intestinali conosca gli strumenti legislativi che lo tutelano, permettendogli di bilanciare tempo dedicato alle cure e lavoro. Tra i diritti del malato di MICI, vi è la richiesta del riconoscimento dell’invalidità civile, che va indirizzata all’ASL. In ambito lavorativo, i malati di MICI dichiarati invalidi sono iscritti agli elenchi delle categorie protette e hanno diritto alla conservazione del posto e agli altri diritti previsti dalla Legge n.68 del 1999.</w:t>
      </w:r>
    </w:p>
    <w:p w14:paraId="0E418F9D" w14:textId="77777777" w:rsidR="000E5E5A" w:rsidRPr="00EC2750" w:rsidRDefault="000E5E5A" w:rsidP="00EC2750">
      <w:pPr>
        <w:spacing w:line="276" w:lineRule="auto"/>
        <w:jc w:val="both"/>
        <w:rPr>
          <w:rFonts w:ascii="Verdana Pro" w:hAnsi="Verdana Pro"/>
          <w:color w:val="222222"/>
          <w:sz w:val="22"/>
          <w:szCs w:val="22"/>
          <w:shd w:val="clear" w:color="auto" w:fill="FFFFFF"/>
        </w:rPr>
      </w:pPr>
    </w:p>
    <w:sectPr w:rsidR="000E5E5A" w:rsidRPr="00EC2750" w:rsidSect="00CD504C">
      <w:headerReference w:type="default" r:id="rId12"/>
      <w:footerReference w:type="default" r:id="rId13"/>
      <w:footnotePr>
        <w:pos w:val="beneathText"/>
      </w:footnotePr>
      <w:pgSz w:w="11905" w:h="16837"/>
      <w:pgMar w:top="1701"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9CE6E" w14:textId="77777777" w:rsidR="009E39A5" w:rsidRDefault="009E39A5">
      <w:r>
        <w:separator/>
      </w:r>
    </w:p>
  </w:endnote>
  <w:endnote w:type="continuationSeparator" w:id="0">
    <w:p w14:paraId="767F5BF3" w14:textId="77777777" w:rsidR="009E39A5" w:rsidRDefault="009E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2D71" w14:textId="77777777" w:rsidR="00AB4C5E" w:rsidRDefault="0004317E" w:rsidP="0004317E">
    <w:pPr>
      <w:pStyle w:val="Pidipagina"/>
      <w:tabs>
        <w:tab w:val="left" w:pos="1035"/>
      </w:tabs>
      <w:rPr>
        <w:sz w:val="16"/>
        <w:szCs w:val="16"/>
      </w:rPr>
    </w:pPr>
    <w:r w:rsidRPr="00CD504C">
      <w:rPr>
        <w:sz w:val="16"/>
        <w:szCs w:val="16"/>
      </w:rPr>
      <w:t xml:space="preserve">Sostegno Nuove Patologie Intestinali </w:t>
    </w:r>
    <w:proofErr w:type="spellStart"/>
    <w:r w:rsidRPr="00CD504C">
      <w:rPr>
        <w:sz w:val="16"/>
        <w:szCs w:val="16"/>
      </w:rPr>
      <w:t>Odv</w:t>
    </w:r>
    <w:proofErr w:type="spellEnd"/>
    <w:r w:rsidRPr="00CD504C">
      <w:rPr>
        <w:sz w:val="16"/>
        <w:szCs w:val="16"/>
      </w:rPr>
      <w:t xml:space="preserve"> per soggetti in età pediatrica, evolutiva, giovanile e adulta - Sede legale via Bizzozero 19/A 43123 Parma </w:t>
    </w:r>
  </w:p>
  <w:p w14:paraId="528B42A4" w14:textId="77777777" w:rsidR="000F5F5E" w:rsidRDefault="00AB4C5E" w:rsidP="0004317E">
    <w:pPr>
      <w:pStyle w:val="Pidipagina"/>
      <w:tabs>
        <w:tab w:val="left" w:pos="1035"/>
      </w:tabs>
      <w:rPr>
        <w:sz w:val="16"/>
        <w:szCs w:val="16"/>
      </w:rPr>
    </w:pPr>
    <w:r w:rsidRPr="00F41A1B">
      <w:rPr>
        <w:b/>
        <w:bCs/>
        <w:color w:val="0070C0"/>
        <w:sz w:val="16"/>
        <w:szCs w:val="16"/>
      </w:rPr>
      <w:t>Iscritta al RUNTS Rep 90918</w:t>
    </w:r>
    <w:r w:rsidR="00F41A1B" w:rsidRPr="00F41A1B">
      <w:rPr>
        <w:b/>
        <w:bCs/>
        <w:color w:val="0070C0"/>
        <w:sz w:val="16"/>
        <w:szCs w:val="16"/>
      </w:rPr>
      <w:t xml:space="preserve"> DPR 287386 del02.01.2023 </w:t>
    </w:r>
    <w:r>
      <w:rPr>
        <w:sz w:val="16"/>
        <w:szCs w:val="16"/>
      </w:rPr>
      <w:t xml:space="preserve">- </w:t>
    </w:r>
    <w:r w:rsidR="0004317E" w:rsidRPr="00AB4C5E">
      <w:rPr>
        <w:sz w:val="16"/>
        <w:szCs w:val="16"/>
      </w:rPr>
      <w:t xml:space="preserve">tel.333-9612297 C.F.92137450349 </w:t>
    </w:r>
    <w:r w:rsidR="007134FD" w:rsidRPr="00AB4C5E">
      <w:rPr>
        <w:sz w:val="16"/>
        <w:szCs w:val="16"/>
      </w:rPr>
      <w:t>– 334.6063133</w:t>
    </w:r>
    <w:r w:rsidR="0004317E" w:rsidRPr="00AB4C5E">
      <w:rPr>
        <w:sz w:val="16"/>
        <w:szCs w:val="16"/>
      </w:rPr>
      <w:t xml:space="preserve">- Cariparma </w:t>
    </w:r>
    <w:proofErr w:type="spellStart"/>
    <w:r w:rsidR="0004317E" w:rsidRPr="00AB4C5E">
      <w:rPr>
        <w:sz w:val="16"/>
        <w:szCs w:val="16"/>
      </w:rPr>
      <w:t>Crèdit</w:t>
    </w:r>
    <w:proofErr w:type="spellEnd"/>
    <w:r w:rsidR="0004317E" w:rsidRPr="00AB4C5E">
      <w:rPr>
        <w:sz w:val="16"/>
        <w:szCs w:val="16"/>
      </w:rPr>
      <w:t xml:space="preserve"> Agricole IBAN – IT89V0623012709000057095541</w:t>
    </w:r>
    <w:r w:rsidR="0004317E" w:rsidRPr="00CD504C">
      <w:rPr>
        <w:sz w:val="16"/>
        <w:szCs w:val="16"/>
      </w:rPr>
      <w:t xml:space="preserve">Parma Ag. 9Via Cuneo 21/a 43100 Parma WWW.snupi.it - info@snupi.it - http://snupi.ikirsector.it - </w:t>
    </w:r>
    <w:hyperlink r:id="rId1" w:anchor="!/snupionlushttp://www.facebook.com/pages/SNUPI-Sostegno-Nuove-Patologie-intestinali/" w:history="1">
      <w:r w:rsidR="000F5F5E" w:rsidRPr="009565AC">
        <w:rPr>
          <w:rStyle w:val="Collegamentoipertestuale"/>
          <w:sz w:val="16"/>
          <w:szCs w:val="16"/>
        </w:rPr>
        <w:t>http://twitter.com/#!/snupionlushttp://www.facebook.com/pages/SNUPI-Sostegno-Nuove-Patologie-intestinali/</w:t>
      </w:r>
    </w:hyperlink>
  </w:p>
  <w:p w14:paraId="663E7FA6" w14:textId="77777777" w:rsidR="000F5F5E" w:rsidRDefault="000F5F5E" w:rsidP="0004317E">
    <w:pPr>
      <w:pStyle w:val="Pidipagina"/>
      <w:tabs>
        <w:tab w:val="left" w:pos="103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F9CE" w14:textId="77777777" w:rsidR="009E39A5" w:rsidRDefault="009E39A5">
      <w:r>
        <w:separator/>
      </w:r>
    </w:p>
  </w:footnote>
  <w:footnote w:type="continuationSeparator" w:id="0">
    <w:p w14:paraId="3717E7D1" w14:textId="77777777" w:rsidR="009E39A5" w:rsidRDefault="009E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66E3" w14:textId="29CA89DE" w:rsidR="00CD504C" w:rsidRDefault="00FF259F" w:rsidP="00CD504C">
    <w:pPr>
      <w:pStyle w:val="Intestazione"/>
      <w:jc w:val="right"/>
    </w:pPr>
    <w:proofErr w:type="spellStart"/>
    <w:r w:rsidRPr="00FF259F">
      <w:rPr>
        <w:rFonts w:ascii="Arial" w:hAnsi="Arial" w:cs="Arial"/>
        <w:b/>
        <w:bCs/>
        <w:color w:val="F79646" w:themeColor="accent6"/>
        <w:sz w:val="28"/>
        <w:szCs w:val="28"/>
      </w:rPr>
      <w:t>Snupi</w:t>
    </w:r>
    <w:proofErr w:type="spellEnd"/>
    <w:r w:rsidR="00CD504C" w:rsidRPr="00FF259F">
      <w:rPr>
        <w:rFonts w:ascii="Arial" w:hAnsi="Arial" w:cs="Arial"/>
        <w:b/>
        <w:bCs/>
        <w:color w:val="F79646" w:themeColor="accent6"/>
        <w:sz w:val="28"/>
        <w:szCs w:val="28"/>
      </w:rPr>
      <w:t xml:space="preserve"> </w:t>
    </w:r>
    <w:proofErr w:type="spellStart"/>
    <w:r w:rsidR="00CD504C" w:rsidRPr="00FF259F">
      <w:rPr>
        <w:rFonts w:ascii="Arial" w:hAnsi="Arial" w:cs="Arial"/>
        <w:b/>
        <w:bCs/>
        <w:color w:val="F79646" w:themeColor="accent6"/>
        <w:sz w:val="28"/>
        <w:szCs w:val="28"/>
      </w:rPr>
      <w:t>odv</w:t>
    </w:r>
    <w:proofErr w:type="spellEnd"/>
    <w:r w:rsidR="00CD504C" w:rsidRPr="00FF259F">
      <w:rPr>
        <w:color w:val="F79646" w:themeColor="accent6"/>
      </w:rPr>
      <w:t xml:space="preserve"> </w:t>
    </w:r>
    <w:r w:rsidR="00923BDC">
      <w:rPr>
        <w:noProof/>
        <w:lang w:eastAsia="it-IT"/>
      </w:rPr>
      <w:drawing>
        <wp:inline distT="0" distB="0" distL="0" distR="0" wp14:anchorId="127AA5D1" wp14:editId="15BBE1CD">
          <wp:extent cx="617220" cy="771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749" cy="779686"/>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D5534C"/>
    <w:multiLevelType w:val="hybridMultilevel"/>
    <w:tmpl w:val="86804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3644031">
    <w:abstractNumId w:val="0"/>
  </w:num>
  <w:num w:numId="2" w16cid:durableId="1383599978">
    <w:abstractNumId w:val="1"/>
  </w:num>
  <w:num w:numId="3" w16cid:durableId="809594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6C"/>
    <w:rsid w:val="0004317E"/>
    <w:rsid w:val="000D1E6D"/>
    <w:rsid w:val="000E4586"/>
    <w:rsid w:val="000E5E5A"/>
    <w:rsid w:val="000F5F5E"/>
    <w:rsid w:val="00175289"/>
    <w:rsid w:val="001803B8"/>
    <w:rsid w:val="00186248"/>
    <w:rsid w:val="001A5489"/>
    <w:rsid w:val="001D5F51"/>
    <w:rsid w:val="002107B8"/>
    <w:rsid w:val="002121DD"/>
    <w:rsid w:val="00220183"/>
    <w:rsid w:val="00233BD2"/>
    <w:rsid w:val="002667A0"/>
    <w:rsid w:val="00274E90"/>
    <w:rsid w:val="00291C6C"/>
    <w:rsid w:val="002B0FF0"/>
    <w:rsid w:val="002B187F"/>
    <w:rsid w:val="002B46F1"/>
    <w:rsid w:val="002D3BF8"/>
    <w:rsid w:val="00301FE0"/>
    <w:rsid w:val="003326DC"/>
    <w:rsid w:val="003B42BD"/>
    <w:rsid w:val="004616F5"/>
    <w:rsid w:val="00491F7A"/>
    <w:rsid w:val="00501D7B"/>
    <w:rsid w:val="00570355"/>
    <w:rsid w:val="00596979"/>
    <w:rsid w:val="005C67B1"/>
    <w:rsid w:val="005E7F6C"/>
    <w:rsid w:val="006165CD"/>
    <w:rsid w:val="0063176C"/>
    <w:rsid w:val="00660AAA"/>
    <w:rsid w:val="006628E8"/>
    <w:rsid w:val="00682194"/>
    <w:rsid w:val="006A5EDF"/>
    <w:rsid w:val="007134FD"/>
    <w:rsid w:val="00763188"/>
    <w:rsid w:val="007A579C"/>
    <w:rsid w:val="007B2FAB"/>
    <w:rsid w:val="007C3298"/>
    <w:rsid w:val="008240E0"/>
    <w:rsid w:val="0082473B"/>
    <w:rsid w:val="00855BE1"/>
    <w:rsid w:val="008665AD"/>
    <w:rsid w:val="008D31DA"/>
    <w:rsid w:val="00923BDC"/>
    <w:rsid w:val="00926732"/>
    <w:rsid w:val="00937F64"/>
    <w:rsid w:val="00983A81"/>
    <w:rsid w:val="009D5E7D"/>
    <w:rsid w:val="009E39A5"/>
    <w:rsid w:val="00A10F1E"/>
    <w:rsid w:val="00A20054"/>
    <w:rsid w:val="00A63B62"/>
    <w:rsid w:val="00A832BA"/>
    <w:rsid w:val="00AA6174"/>
    <w:rsid w:val="00AB4C5E"/>
    <w:rsid w:val="00AD5C7F"/>
    <w:rsid w:val="00BB6D90"/>
    <w:rsid w:val="00C35BF4"/>
    <w:rsid w:val="00CD504C"/>
    <w:rsid w:val="00CF443F"/>
    <w:rsid w:val="00D16ED3"/>
    <w:rsid w:val="00D2786D"/>
    <w:rsid w:val="00D63956"/>
    <w:rsid w:val="00DB40C4"/>
    <w:rsid w:val="00DF12E4"/>
    <w:rsid w:val="00E21489"/>
    <w:rsid w:val="00E77E0F"/>
    <w:rsid w:val="00EC2750"/>
    <w:rsid w:val="00EC5EAE"/>
    <w:rsid w:val="00F00221"/>
    <w:rsid w:val="00F33904"/>
    <w:rsid w:val="00F41A1B"/>
    <w:rsid w:val="00F57258"/>
    <w:rsid w:val="00FA66C0"/>
    <w:rsid w:val="00FD2948"/>
    <w:rsid w:val="00FD5B8D"/>
    <w:rsid w:val="00FF2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F8E9B8B"/>
  <w15:docId w15:val="{96BDCCD6-CD62-4642-A6C2-8243EFAB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qFormat/>
    <w:rsid w:val="00EC27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EC2750"/>
    <w:pPr>
      <w:keepNext/>
      <w:keepLines/>
      <w:spacing w:before="40"/>
      <w:outlineLvl w:val="2"/>
    </w:pPr>
    <w:rPr>
      <w:rFonts w:asciiTheme="majorHAnsi" w:eastAsiaTheme="majorEastAsia" w:hAnsiTheme="majorHAnsi" w:cstheme="majorBidi"/>
      <w:color w:val="243F60" w:themeColor="accent1" w:themeShade="7F"/>
    </w:rPr>
  </w:style>
  <w:style w:type="paragraph" w:styleId="Titolo7">
    <w:name w:val="heading 7"/>
    <w:basedOn w:val="Normale"/>
    <w:next w:val="Normale"/>
    <w:qFormat/>
    <w:pPr>
      <w:keepNext/>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1">
    <w:name w:val="Car. predefinito paragrafo1"/>
  </w:style>
  <w:style w:type="character" w:styleId="Collegamentoipertestuale">
    <w:name w:val="Hyperlink"/>
    <w:basedOn w:val="Carpredefinitoparagrafo1"/>
    <w:uiPriority w:val="99"/>
    <w:rPr>
      <w:color w:val="0000FF"/>
      <w:u w:val="single"/>
    </w:rPr>
  </w:style>
  <w:style w:type="character" w:customStyle="1" w:styleId="Punti">
    <w:name w:val="Punti"/>
    <w:rPr>
      <w:rFonts w:ascii="StarSymbol" w:eastAsia="StarSymbol" w:hAnsi="StarSymbol" w:cs="StarSymbol"/>
      <w:sz w:val="18"/>
      <w:szCs w:val="18"/>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jc w:val="both"/>
    </w:pPr>
    <w:rPr>
      <w:rFonts w:ascii="Verdana" w:hAnsi="Verdana"/>
      <w:sz w:val="22"/>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prezzi">
    <w:name w:val="prezzi"/>
    <w:basedOn w:val="Normale"/>
    <w:pPr>
      <w:pBdr>
        <w:top w:val="single" w:sz="4" w:space="1" w:color="FFFF00"/>
        <w:left w:val="single" w:sz="4" w:space="4" w:color="FFFF00"/>
        <w:bottom w:val="single" w:sz="4" w:space="1" w:color="FFFF00"/>
        <w:right w:val="single" w:sz="4" w:space="4" w:color="FFFF00"/>
      </w:pBdr>
      <w:shd w:val="clear" w:color="auto" w:fill="99CC00"/>
      <w:jc w:val="right"/>
    </w:pPr>
    <w:rPr>
      <w:rFonts w:ascii="Georgia" w:hAnsi="Georgia" w:cs="Tahoma"/>
      <w:b/>
      <w:color w:val="FFFFFF"/>
      <w:szCs w:val="22"/>
    </w:rPr>
  </w:style>
  <w:style w:type="paragraph" w:customStyle="1" w:styleId="P-clienteVelto">
    <w:name w:val="P-clienteVelto"/>
    <w:basedOn w:val="Normale"/>
    <w:pPr>
      <w:spacing w:before="120" w:after="120"/>
      <w:ind w:left="4248"/>
    </w:pPr>
    <w:rPr>
      <w:rFonts w:ascii="Georgia" w:hAnsi="Georgia" w:cs="Arial"/>
      <w:b/>
      <w:color w:val="0000FF"/>
      <w:sz w:val="22"/>
    </w:rPr>
  </w:style>
  <w:style w:type="paragraph" w:customStyle="1" w:styleId="Nole">
    <w:name w:val="Nole"/>
    <w:basedOn w:val="Normale"/>
    <w:rPr>
      <w:rFonts w:ascii="Georgia" w:hAnsi="Georgia" w:cs="Tahoma"/>
      <w:sz w:val="22"/>
      <w:szCs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rFonts w:ascii="Arial" w:hAnsi="Arial" w:cs="Arial"/>
      <w:sz w:val="22"/>
      <w:u w:val="single"/>
    </w:rPr>
  </w:style>
  <w:style w:type="paragraph" w:customStyle="1" w:styleId="Rientrocorpodeltesto31">
    <w:name w:val="Rientro corpo del testo 31"/>
    <w:basedOn w:val="Normale"/>
    <w:pPr>
      <w:ind w:left="5220"/>
    </w:pPr>
    <w:rPr>
      <w:rFonts w:ascii="Arial" w:hAnsi="Arial" w:cs="Arial"/>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rmale">
    <w:name w:val="Plain Text"/>
    <w:basedOn w:val="Normale"/>
    <w:rsid w:val="002B187F"/>
    <w:pPr>
      <w:suppressAutoHyphens w:val="0"/>
    </w:pPr>
    <w:rPr>
      <w:rFonts w:ascii="Courier New" w:hAnsi="Courier New" w:cs="Courier New"/>
      <w:bCs/>
      <w:sz w:val="20"/>
      <w:szCs w:val="20"/>
      <w:lang w:eastAsia="it-IT"/>
    </w:rPr>
  </w:style>
  <w:style w:type="paragraph" w:customStyle="1" w:styleId="Default">
    <w:name w:val="Default"/>
    <w:rsid w:val="00F57258"/>
    <w:pPr>
      <w:autoSpaceDE w:val="0"/>
      <w:autoSpaceDN w:val="0"/>
      <w:adjustRightInd w:val="0"/>
    </w:pPr>
    <w:rPr>
      <w:rFonts w:ascii="Arial" w:hAnsi="Arial" w:cs="Arial"/>
      <w:color w:val="000000"/>
      <w:sz w:val="24"/>
      <w:szCs w:val="24"/>
    </w:rPr>
  </w:style>
  <w:style w:type="paragraph" w:styleId="Testofumetto">
    <w:name w:val="Balloon Text"/>
    <w:basedOn w:val="Normale"/>
    <w:semiHidden/>
    <w:rsid w:val="007C3298"/>
    <w:rPr>
      <w:rFonts w:ascii="Tahoma" w:hAnsi="Tahoma" w:cs="Tahoma"/>
      <w:sz w:val="16"/>
      <w:szCs w:val="16"/>
    </w:rPr>
  </w:style>
  <w:style w:type="paragraph" w:styleId="Paragrafoelenco">
    <w:name w:val="List Paragraph"/>
    <w:basedOn w:val="Normale"/>
    <w:uiPriority w:val="34"/>
    <w:qFormat/>
    <w:rsid w:val="00491F7A"/>
    <w:pPr>
      <w:ind w:left="720"/>
      <w:contextualSpacing/>
    </w:pPr>
  </w:style>
  <w:style w:type="paragraph" w:styleId="NormaleWeb">
    <w:name w:val="Normal (Web)"/>
    <w:basedOn w:val="Normale"/>
    <w:uiPriority w:val="99"/>
    <w:semiHidden/>
    <w:unhideWhenUsed/>
    <w:rsid w:val="00A20054"/>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0F5F5E"/>
    <w:rPr>
      <w:color w:val="605E5C"/>
      <w:shd w:val="clear" w:color="auto" w:fill="E1DFDD"/>
    </w:rPr>
  </w:style>
  <w:style w:type="character" w:styleId="Enfasigrassetto">
    <w:name w:val="Strong"/>
    <w:basedOn w:val="Carpredefinitoparagrafo"/>
    <w:uiPriority w:val="22"/>
    <w:qFormat/>
    <w:rsid w:val="00A10F1E"/>
    <w:rPr>
      <w:b/>
      <w:bCs/>
    </w:rPr>
  </w:style>
  <w:style w:type="character" w:customStyle="1" w:styleId="Titolo1Carattere">
    <w:name w:val="Titolo 1 Carattere"/>
    <w:basedOn w:val="Carpredefinitoparagrafo"/>
    <w:link w:val="Titolo1"/>
    <w:rsid w:val="00EC2750"/>
    <w:rPr>
      <w:rFonts w:asciiTheme="majorHAnsi" w:eastAsiaTheme="majorEastAsia" w:hAnsiTheme="majorHAnsi" w:cstheme="majorBidi"/>
      <w:color w:val="365F91" w:themeColor="accent1" w:themeShade="BF"/>
      <w:sz w:val="32"/>
      <w:szCs w:val="32"/>
      <w:lang w:eastAsia="ar-SA"/>
    </w:rPr>
  </w:style>
  <w:style w:type="character" w:customStyle="1" w:styleId="Titolo3Carattere">
    <w:name w:val="Titolo 3 Carattere"/>
    <w:basedOn w:val="Carpredefinitoparagrafo"/>
    <w:link w:val="Titolo3"/>
    <w:semiHidden/>
    <w:rsid w:val="00EC2750"/>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1269">
      <w:bodyDiv w:val="1"/>
      <w:marLeft w:val="0"/>
      <w:marRight w:val="0"/>
      <w:marTop w:val="0"/>
      <w:marBottom w:val="0"/>
      <w:divBdr>
        <w:top w:val="none" w:sz="0" w:space="0" w:color="auto"/>
        <w:left w:val="none" w:sz="0" w:space="0" w:color="auto"/>
        <w:bottom w:val="none" w:sz="0" w:space="0" w:color="auto"/>
        <w:right w:val="none" w:sz="0" w:space="0" w:color="auto"/>
      </w:divBdr>
      <w:divsChild>
        <w:div w:id="1374773934">
          <w:marLeft w:val="0"/>
          <w:marRight w:val="0"/>
          <w:marTop w:val="0"/>
          <w:marBottom w:val="0"/>
          <w:divBdr>
            <w:top w:val="none" w:sz="0" w:space="0" w:color="auto"/>
            <w:left w:val="none" w:sz="0" w:space="0" w:color="auto"/>
            <w:bottom w:val="none" w:sz="0" w:space="0" w:color="auto"/>
            <w:right w:val="none" w:sz="0" w:space="0" w:color="auto"/>
          </w:divBdr>
        </w:div>
        <w:div w:id="1114861803">
          <w:marLeft w:val="0"/>
          <w:marRight w:val="0"/>
          <w:marTop w:val="0"/>
          <w:marBottom w:val="0"/>
          <w:divBdr>
            <w:top w:val="none" w:sz="0" w:space="0" w:color="auto"/>
            <w:left w:val="none" w:sz="0" w:space="0" w:color="auto"/>
            <w:bottom w:val="none" w:sz="0" w:space="0" w:color="auto"/>
            <w:right w:val="none" w:sz="0" w:space="0" w:color="auto"/>
          </w:divBdr>
        </w:div>
        <w:div w:id="169415374">
          <w:marLeft w:val="0"/>
          <w:marRight w:val="0"/>
          <w:marTop w:val="0"/>
          <w:marBottom w:val="0"/>
          <w:divBdr>
            <w:top w:val="none" w:sz="0" w:space="0" w:color="auto"/>
            <w:left w:val="none" w:sz="0" w:space="0" w:color="auto"/>
            <w:bottom w:val="none" w:sz="0" w:space="0" w:color="auto"/>
            <w:right w:val="none" w:sz="0" w:space="0" w:color="auto"/>
          </w:divBdr>
        </w:div>
        <w:div w:id="1898785432">
          <w:marLeft w:val="0"/>
          <w:marRight w:val="0"/>
          <w:marTop w:val="0"/>
          <w:marBottom w:val="0"/>
          <w:divBdr>
            <w:top w:val="none" w:sz="0" w:space="0" w:color="auto"/>
            <w:left w:val="none" w:sz="0" w:space="0" w:color="auto"/>
            <w:bottom w:val="none" w:sz="0" w:space="0" w:color="auto"/>
            <w:right w:val="none" w:sz="0" w:space="0" w:color="auto"/>
          </w:divBdr>
        </w:div>
        <w:div w:id="407265987">
          <w:marLeft w:val="0"/>
          <w:marRight w:val="0"/>
          <w:marTop w:val="0"/>
          <w:marBottom w:val="0"/>
          <w:divBdr>
            <w:top w:val="none" w:sz="0" w:space="0" w:color="auto"/>
            <w:left w:val="none" w:sz="0" w:space="0" w:color="auto"/>
            <w:bottom w:val="none" w:sz="0" w:space="0" w:color="auto"/>
            <w:right w:val="none" w:sz="0" w:space="0" w:color="auto"/>
          </w:divBdr>
        </w:div>
      </w:divsChild>
    </w:div>
    <w:div w:id="1107240722">
      <w:bodyDiv w:val="1"/>
      <w:marLeft w:val="0"/>
      <w:marRight w:val="0"/>
      <w:marTop w:val="0"/>
      <w:marBottom w:val="0"/>
      <w:divBdr>
        <w:top w:val="none" w:sz="0" w:space="0" w:color="auto"/>
        <w:left w:val="none" w:sz="0" w:space="0" w:color="auto"/>
        <w:bottom w:val="none" w:sz="0" w:space="0" w:color="auto"/>
        <w:right w:val="none" w:sz="0" w:space="0" w:color="auto"/>
      </w:divBdr>
    </w:div>
    <w:div w:id="1269315099">
      <w:bodyDiv w:val="1"/>
      <w:marLeft w:val="0"/>
      <w:marRight w:val="0"/>
      <w:marTop w:val="0"/>
      <w:marBottom w:val="0"/>
      <w:divBdr>
        <w:top w:val="none" w:sz="0" w:space="0" w:color="auto"/>
        <w:left w:val="none" w:sz="0" w:space="0" w:color="auto"/>
        <w:bottom w:val="none" w:sz="0" w:space="0" w:color="auto"/>
        <w:right w:val="none" w:sz="0" w:space="0" w:color="auto"/>
      </w:divBdr>
    </w:div>
    <w:div w:id="13694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iamocichiara.it/glossario/mici-malattie-infiammatorie-croniche-intestinal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nssenconte.it/it-it/mici360/resta-aggiornato/news/colectomia-totale-stomia-vivere-senza-col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iciitali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ediamocichiara.it/glossario/malattia-di-crohn/" TargetMode="External"/><Relationship Id="rId4" Type="http://schemas.openxmlformats.org/officeDocument/2006/relationships/webSettings" Target="webSettings.xml"/><Relationship Id="rId9" Type="http://schemas.openxmlformats.org/officeDocument/2006/relationships/hyperlink" Target="https://www.vediamocichiara.it/glossario/rettocolite-ulceros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wit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964</Words>
  <Characters>5500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LE MALATTIE INFAIMMATORIE CRONICHE INTESTINALI (MICI)</vt:lpstr>
    </vt:vector>
  </TitlesOfParts>
  <Company>Uni PR</Company>
  <LinksUpToDate>false</LinksUpToDate>
  <CharactersWithSpaces>6452</CharactersWithSpaces>
  <SharedDoc>false</SharedDoc>
  <HLinks>
    <vt:vector size="18" baseType="variant">
      <vt:variant>
        <vt:i4>6881357</vt:i4>
      </vt:variant>
      <vt:variant>
        <vt:i4>0</vt:i4>
      </vt:variant>
      <vt:variant>
        <vt:i4>0</vt:i4>
      </vt:variant>
      <vt:variant>
        <vt:i4>5</vt:i4>
      </vt:variant>
      <vt:variant>
        <vt:lpwstr>mailto:info@snupi.it</vt:lpwstr>
      </vt:variant>
      <vt:variant>
        <vt:lpwstr/>
      </vt:variant>
      <vt:variant>
        <vt:i4>6881357</vt:i4>
      </vt:variant>
      <vt:variant>
        <vt:i4>3</vt:i4>
      </vt:variant>
      <vt:variant>
        <vt:i4>0</vt:i4>
      </vt:variant>
      <vt:variant>
        <vt:i4>5</vt:i4>
      </vt:variant>
      <vt:variant>
        <vt:lpwstr>mailto:info@snupi.it</vt:lpwstr>
      </vt:variant>
      <vt:variant>
        <vt:lpwstr/>
      </vt:variant>
      <vt:variant>
        <vt:i4>131092</vt:i4>
      </vt:variant>
      <vt:variant>
        <vt:i4>0</vt:i4>
      </vt:variant>
      <vt:variant>
        <vt:i4>0</vt:i4>
      </vt:variant>
      <vt:variant>
        <vt:i4>5</vt:i4>
      </vt:variant>
      <vt:variant>
        <vt:lpwstr>http://www.snupi.it/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MALATTIE INFAIMMATORIE CRONICHE INTESTINALI (MICI)</dc:title>
  <dc:creator>ld</dc:creator>
  <cp:lastModifiedBy>Giulio Orsini</cp:lastModifiedBy>
  <cp:revision>11</cp:revision>
  <cp:lastPrinted>2024-05-22T10:43:00Z</cp:lastPrinted>
  <dcterms:created xsi:type="dcterms:W3CDTF">2024-03-28T15:34:00Z</dcterms:created>
  <dcterms:modified xsi:type="dcterms:W3CDTF">2024-07-30T13:33:00Z</dcterms:modified>
</cp:coreProperties>
</file>